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DB05" w14:textId="632E9D03" w:rsidR="009A3573" w:rsidRDefault="003151B0" w:rsidP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Zoltán Paluch: </w:t>
            </w:r>
            <w:proofErr w:type="spellStart"/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Farmakologie</w:t>
            </w:r>
            <w:proofErr w:type="spellEnd"/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gastroenterologii</w:t>
            </w:r>
            <w:proofErr w:type="spellEnd"/>
          </w:p>
          <w:p w14:paraId="6C9495F1" w14:textId="0E4A75ED" w:rsidR="009A3573" w:rsidRPr="009A3573" w:rsidRDefault="009A3573" w:rsidP="009A35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9A3573">
              <w:rPr>
                <w:rFonts w:cstheme="minorHAnsi"/>
                <w:sz w:val="16"/>
                <w:szCs w:val="16"/>
              </w:rPr>
              <w:t>ISBN 978-80-904574-1-6</w:t>
            </w:r>
          </w:p>
          <w:p w14:paraId="180D4AC6" w14:textId="4DAC09C9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5A4BA320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17066A93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9A35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Paluch 100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9A35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Paluch 100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DECE91F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: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 100 %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711F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2569AF78" w:rsidR="00A5352A" w:rsidRPr="009A3573" w:rsidRDefault="009A3573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9A3573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9A3573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v </w:t>
            </w:r>
            <w:proofErr w:type="spellStart"/>
            <w:r w:rsidRPr="009A3573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gastroenterologii</w:t>
            </w:r>
            <w:proofErr w:type="spellEnd"/>
            <w:r w:rsidRPr="009A3573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 </w:t>
            </w:r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je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nejaktuálnější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přehledný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studijní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text pro odbornou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veřejnost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pro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studenty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zdravotnických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oborů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Soubor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obsahuje základní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mechanismus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účinků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indikace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kontraindikace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nežádoucí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účinky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související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léčbou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nejdůležitější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lékové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interakce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Publikace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studentům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rovněž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podá základní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informace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související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všemi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u nás dostupnými a klinickou praxí používanými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léčivými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látkami a je klinicky orientovaná. Na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její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přípravě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podíleli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pedagogové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1. LF UK a 2. LF UK, IPVZ a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studenti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kteří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ukončili </w:t>
            </w:r>
            <w:proofErr w:type="spellStart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čtvrtý</w:t>
            </w:r>
            <w:proofErr w:type="spellEnd"/>
            <w:r w:rsidRPr="009A3573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ročník 2. LF UK. 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AEBB" w14:textId="77777777" w:rsidR="006A6468" w:rsidRDefault="006A6468">
      <w:pPr>
        <w:spacing w:line="240" w:lineRule="auto"/>
      </w:pPr>
      <w:r>
        <w:separator/>
      </w:r>
    </w:p>
  </w:endnote>
  <w:endnote w:type="continuationSeparator" w:id="0">
    <w:p w14:paraId="74CD43D8" w14:textId="77777777" w:rsidR="006A6468" w:rsidRDefault="006A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BEB2" w14:textId="77777777" w:rsidR="006A6468" w:rsidRDefault="006A6468">
      <w:pPr>
        <w:spacing w:after="0"/>
      </w:pPr>
      <w:r>
        <w:separator/>
      </w:r>
    </w:p>
  </w:footnote>
  <w:footnote w:type="continuationSeparator" w:id="0">
    <w:p w14:paraId="43F46615" w14:textId="77777777" w:rsidR="006A6468" w:rsidRDefault="006A64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4C0ADE"/>
    <w:rsid w:val="005640C9"/>
    <w:rsid w:val="006A6468"/>
    <w:rsid w:val="0073261A"/>
    <w:rsid w:val="009A3573"/>
    <w:rsid w:val="00A5352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2022-06-10T10:13:00Z</dcterms:created>
  <dcterms:modified xsi:type="dcterms:W3CDTF">2022-06-10T10:17:00Z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